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-228600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-570230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-616585</wp:posOffset>
            </wp:positionV>
            <wp:extent cx="57785" cy="6299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3949065</wp:posOffset>
            </wp:positionH>
            <wp:positionV relativeFrom="paragraph">
              <wp:posOffset>-616585</wp:posOffset>
            </wp:positionV>
            <wp:extent cx="57785" cy="629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730250</wp:posOffset>
            </wp:positionV>
            <wp:extent cx="6995795" cy="50050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5795" cy="5005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  <w:w w:val="99"/>
                </w:rPr>
                <w:t>BAHL TRACY L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</w:tcPr>
          <w:p>
            <w:pPr>
              <w:ind w:left="80"/>
              <w:spacing w:after="0" w:line="102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TTEC Holdings,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TTEC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5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100 CONGRESS AVENUE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SUITE 1425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AUSTIN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TX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78701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60" w:space="720"/>
            <w:col w:w="280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jc w:val="center"/>
              <w:ind w:lef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1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05/21/2026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36,965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90,385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36,965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36,965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62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70,896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center"/>
              <w:ind w:right="321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203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70,896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2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-2195830</wp:posOffset>
            </wp:positionV>
            <wp:extent cx="28575" cy="22009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0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 w:right="50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vesting of Restricted Stock Units ("RSUs") on May 21, 2026. The Reporting Person initially received 36,965 time-based RSUs on May 23, 2025.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1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60"/>
        <w:spacing w:after="0" w:line="249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70,896 time-based RSUs on May 21, 2026. The RSUs vest in full on the earlier of: (i) the first anniversary of the date of the grant; (ii) the date of the succeeding year's annual meeting of stockholders; or (iii) any change-in-control event (as defined in the RSU Agreement).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Margaret B. McLean,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-3175</wp:posOffset>
            </wp:positionV>
            <wp:extent cx="1030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Attorney-in-Fact for Tracy L.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05/26/2026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8713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13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Bahl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1981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284939" TargetMode="External"/><Relationship Id="rId14" Type="http://schemas.openxmlformats.org/officeDocument/2006/relationships/hyperlink" Target="http://www.sec.gov/cgi-bin/browse-edgar?action=getcompany&amp;CIK=00010138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2026-05-26T16:35:02Z</dcterms:created>
  <dcterms:modified xsi:type="dcterms:W3CDTF">2026-05-26T16:35:02Z</dcterms:modified>
</cp:coreProperties>
</file>